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80" w:rsidRPr="003D6780" w:rsidRDefault="003D6780" w:rsidP="003D6780">
      <w:pPr>
        <w:spacing w:before="120" w:after="120" w:line="240" w:lineRule="auto"/>
        <w:jc w:val="center"/>
        <w:rPr>
          <w:rFonts w:ascii="Calibri" w:eastAsia="Times New Roman" w:hAnsi="Calibri" w:cs="Calibri"/>
          <w:color w:val="000000"/>
          <w:lang w:eastAsia="tr-TR"/>
        </w:rPr>
      </w:pPr>
      <w:r w:rsidRPr="003D6780">
        <w:rPr>
          <w:rFonts w:ascii="Arial" w:eastAsia="Times New Roman" w:hAnsi="Arial" w:cs="Arial"/>
          <w:b/>
          <w:bCs/>
          <w:color w:val="000000"/>
          <w:lang w:eastAsia="tr-TR"/>
        </w:rPr>
        <w:t>T.C.</w:t>
      </w:r>
    </w:p>
    <w:p w:rsidR="003D6780" w:rsidRPr="003D6780" w:rsidRDefault="003D6780" w:rsidP="003D6780">
      <w:pPr>
        <w:spacing w:before="120" w:after="120" w:line="240" w:lineRule="auto"/>
        <w:jc w:val="center"/>
        <w:rPr>
          <w:rFonts w:ascii="Calibri" w:eastAsia="Times New Roman" w:hAnsi="Calibri" w:cs="Calibri"/>
          <w:color w:val="000000"/>
          <w:lang w:eastAsia="tr-TR"/>
        </w:rPr>
      </w:pPr>
      <w:r w:rsidRPr="003D6780">
        <w:rPr>
          <w:rFonts w:ascii="Arial" w:eastAsia="Times New Roman" w:hAnsi="Arial" w:cs="Arial"/>
          <w:b/>
          <w:bCs/>
          <w:color w:val="000000"/>
          <w:lang w:eastAsia="tr-TR"/>
        </w:rPr>
        <w:t>SOSYAL GÜVENLİK KURUMU BAŞKANLIĞI</w:t>
      </w:r>
    </w:p>
    <w:p w:rsidR="003D6780" w:rsidRPr="003D6780" w:rsidRDefault="003D6780" w:rsidP="003D6780">
      <w:pPr>
        <w:spacing w:before="120" w:after="120" w:line="240" w:lineRule="auto"/>
        <w:jc w:val="center"/>
        <w:rPr>
          <w:rFonts w:ascii="Calibri" w:eastAsia="Times New Roman" w:hAnsi="Calibri" w:cs="Calibri"/>
          <w:color w:val="000000"/>
          <w:lang w:eastAsia="tr-TR"/>
        </w:rPr>
      </w:pPr>
      <w:r w:rsidRPr="003D6780">
        <w:rPr>
          <w:rFonts w:ascii="Arial" w:eastAsia="Times New Roman" w:hAnsi="Arial" w:cs="Arial"/>
          <w:b/>
          <w:bCs/>
          <w:color w:val="000000"/>
          <w:lang w:eastAsia="tr-TR"/>
        </w:rPr>
        <w:t>Strateji Geliştirme Başkanlığı</w:t>
      </w:r>
    </w:p>
    <w:p w:rsidR="003D6780" w:rsidRPr="003D6780" w:rsidRDefault="003D6780" w:rsidP="003D6780">
      <w:pPr>
        <w:spacing w:before="120" w:after="120" w:line="240" w:lineRule="auto"/>
        <w:ind w:firstLine="720"/>
        <w:jc w:val="both"/>
        <w:rPr>
          <w:rFonts w:ascii="Calibri" w:eastAsia="Times New Roman" w:hAnsi="Calibri" w:cs="Calibri"/>
          <w:color w:val="000000"/>
          <w:lang w:eastAsia="tr-TR"/>
        </w:rPr>
      </w:pPr>
      <w:r w:rsidRPr="003D6780">
        <w:rPr>
          <w:rFonts w:ascii="Arial" w:eastAsia="Times New Roman" w:hAnsi="Arial" w:cs="Arial"/>
          <w:b/>
          <w:bCs/>
          <w:color w:val="000000"/>
          <w:lang w:eastAsia="tr-TR"/>
        </w:rPr>
        <w:t> </w:t>
      </w:r>
    </w:p>
    <w:p w:rsidR="003D6780" w:rsidRPr="003D6780" w:rsidRDefault="003D6780" w:rsidP="003D6780">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b/>
          <w:bCs/>
          <w:color w:val="000000"/>
          <w:lang w:eastAsia="tr-TR"/>
        </w:rPr>
        <w:t> </w:t>
      </w:r>
    </w:p>
    <w:p w:rsidR="003D6780" w:rsidRPr="003D6780" w:rsidRDefault="003D6780" w:rsidP="003D6780">
      <w:pPr>
        <w:spacing w:before="120" w:after="120" w:line="240" w:lineRule="auto"/>
        <w:jc w:val="both"/>
        <w:rPr>
          <w:rFonts w:ascii="Calibri" w:eastAsia="Times New Roman" w:hAnsi="Calibri" w:cs="Calibri"/>
          <w:color w:val="000000"/>
          <w:lang w:eastAsia="tr-TR"/>
        </w:rPr>
      </w:pPr>
      <w:proofErr w:type="gramStart"/>
      <w:r w:rsidRPr="003D6780">
        <w:rPr>
          <w:rFonts w:ascii="Arial" w:eastAsia="Times New Roman" w:hAnsi="Arial" w:cs="Arial"/>
          <w:b/>
          <w:bCs/>
          <w:color w:val="000000"/>
          <w:lang w:eastAsia="tr-TR"/>
        </w:rPr>
        <w:t>Tarih   : 26</w:t>
      </w:r>
      <w:proofErr w:type="gramEnd"/>
      <w:r w:rsidRPr="003D6780">
        <w:rPr>
          <w:rFonts w:ascii="Arial" w:eastAsia="Times New Roman" w:hAnsi="Arial" w:cs="Arial"/>
          <w:b/>
          <w:bCs/>
          <w:color w:val="000000"/>
          <w:lang w:eastAsia="tr-TR"/>
        </w:rPr>
        <w:t>.01.2015</w:t>
      </w:r>
    </w:p>
    <w:p w:rsidR="003D6780" w:rsidRPr="003D6780" w:rsidRDefault="003D6780" w:rsidP="003D6780">
      <w:pPr>
        <w:spacing w:before="120" w:after="120" w:line="240" w:lineRule="auto"/>
        <w:jc w:val="both"/>
        <w:rPr>
          <w:rFonts w:ascii="Calibri" w:eastAsia="Times New Roman" w:hAnsi="Calibri" w:cs="Calibri"/>
          <w:color w:val="000000"/>
          <w:lang w:eastAsia="tr-TR"/>
        </w:rPr>
      </w:pPr>
      <w:proofErr w:type="gramStart"/>
      <w:r w:rsidRPr="003D6780">
        <w:rPr>
          <w:rFonts w:ascii="Arial" w:eastAsia="Times New Roman" w:hAnsi="Arial" w:cs="Arial"/>
          <w:b/>
          <w:bCs/>
          <w:color w:val="000000"/>
          <w:lang w:eastAsia="tr-TR"/>
        </w:rPr>
        <w:t>Konu  : 2015</w:t>
      </w:r>
      <w:proofErr w:type="gramEnd"/>
      <w:r w:rsidRPr="003D6780">
        <w:rPr>
          <w:rFonts w:ascii="Arial" w:eastAsia="Times New Roman" w:hAnsi="Arial" w:cs="Arial"/>
          <w:b/>
          <w:bCs/>
          <w:color w:val="000000"/>
          <w:lang w:eastAsia="tr-TR"/>
        </w:rPr>
        <w:t xml:space="preserve"> Yılı Taşra Performans Hedefleri</w:t>
      </w:r>
    </w:p>
    <w:p w:rsidR="003D6780" w:rsidRPr="003D6780" w:rsidRDefault="003D6780" w:rsidP="003D6780">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b/>
          <w:bCs/>
          <w:color w:val="000000"/>
          <w:lang w:eastAsia="tr-TR"/>
        </w:rPr>
        <w:t> </w:t>
      </w:r>
    </w:p>
    <w:p w:rsidR="003D6780" w:rsidRPr="003D6780" w:rsidRDefault="003D6780" w:rsidP="003D6780">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b/>
          <w:bCs/>
          <w:color w:val="000000"/>
          <w:lang w:eastAsia="tr-TR"/>
        </w:rPr>
        <w:t> </w:t>
      </w:r>
    </w:p>
    <w:p w:rsidR="003D6780" w:rsidRPr="003D6780" w:rsidRDefault="003D6780" w:rsidP="003D6780">
      <w:pPr>
        <w:spacing w:before="120" w:after="120" w:line="240" w:lineRule="auto"/>
        <w:jc w:val="center"/>
        <w:rPr>
          <w:rFonts w:ascii="Calibri" w:eastAsia="Times New Roman" w:hAnsi="Calibri" w:cs="Calibri"/>
          <w:color w:val="000000"/>
          <w:lang w:eastAsia="tr-TR"/>
        </w:rPr>
      </w:pPr>
      <w:r w:rsidRPr="003D6780">
        <w:rPr>
          <w:rFonts w:ascii="Arial" w:eastAsia="Times New Roman" w:hAnsi="Arial" w:cs="Arial"/>
          <w:b/>
          <w:bCs/>
          <w:color w:val="000000"/>
          <w:lang w:eastAsia="tr-TR"/>
        </w:rPr>
        <w:t>GENELGE</w:t>
      </w:r>
    </w:p>
    <w:p w:rsidR="003D6780" w:rsidRPr="003D6780" w:rsidRDefault="003D6780" w:rsidP="003D6780">
      <w:pPr>
        <w:spacing w:before="120" w:after="120" w:line="240" w:lineRule="auto"/>
        <w:jc w:val="center"/>
        <w:rPr>
          <w:rFonts w:ascii="Calibri" w:eastAsia="Times New Roman" w:hAnsi="Calibri" w:cs="Calibri"/>
          <w:color w:val="000000"/>
          <w:lang w:eastAsia="tr-TR"/>
        </w:rPr>
      </w:pPr>
      <w:r w:rsidRPr="003D6780">
        <w:rPr>
          <w:rFonts w:ascii="Arial" w:eastAsia="Times New Roman" w:hAnsi="Arial" w:cs="Arial"/>
          <w:b/>
          <w:bCs/>
          <w:color w:val="000000"/>
          <w:lang w:eastAsia="tr-TR"/>
        </w:rPr>
        <w:t>2015/5</w:t>
      </w:r>
      <w:bookmarkStart w:id="0" w:name="_ftnref1"/>
      <w:r w:rsidRPr="003D6780">
        <w:rPr>
          <w:rFonts w:ascii="Arial" w:eastAsia="Times New Roman" w:hAnsi="Arial" w:cs="Arial"/>
          <w:b/>
          <w:bCs/>
          <w:color w:val="000000"/>
          <w:lang w:eastAsia="tr-TR"/>
        </w:rPr>
        <w:fldChar w:fldCharType="begin"/>
      </w:r>
      <w:r w:rsidRPr="003D6780">
        <w:rPr>
          <w:rFonts w:ascii="Arial" w:eastAsia="Times New Roman" w:hAnsi="Arial" w:cs="Arial"/>
          <w:b/>
          <w:bCs/>
          <w:color w:val="000000"/>
          <w:lang w:eastAsia="tr-TR"/>
        </w:rPr>
        <w:instrText xml:space="preserve"> HYPERLINK "https://uye.yaklasim.com/filezone/yaklasim/tummevzuat/sgk_genelgeleri/2015_05.htm" \l "_ftn1" \o "" </w:instrText>
      </w:r>
      <w:r w:rsidRPr="003D6780">
        <w:rPr>
          <w:rFonts w:ascii="Arial" w:eastAsia="Times New Roman" w:hAnsi="Arial" w:cs="Arial"/>
          <w:b/>
          <w:bCs/>
          <w:color w:val="000000"/>
          <w:lang w:eastAsia="tr-TR"/>
        </w:rPr>
        <w:fldChar w:fldCharType="separate"/>
      </w:r>
      <w:r w:rsidRPr="003D6780">
        <w:rPr>
          <w:rFonts w:ascii="Arial" w:eastAsia="Times New Roman" w:hAnsi="Arial" w:cs="Arial"/>
          <w:b/>
          <w:bCs/>
          <w:color w:val="0000FF"/>
          <w:u w:val="single"/>
          <w:lang w:eastAsia="tr-TR"/>
        </w:rPr>
        <w:t>(*)</w:t>
      </w:r>
      <w:r w:rsidRPr="003D6780">
        <w:rPr>
          <w:rFonts w:ascii="Arial" w:eastAsia="Times New Roman" w:hAnsi="Arial" w:cs="Arial"/>
          <w:b/>
          <w:bCs/>
          <w:color w:val="000000"/>
          <w:lang w:eastAsia="tr-TR"/>
        </w:rPr>
        <w:fldChar w:fldCharType="end"/>
      </w:r>
      <w:bookmarkEnd w:id="0"/>
    </w:p>
    <w:p w:rsidR="003D6780" w:rsidRPr="003D6780" w:rsidRDefault="003D6780" w:rsidP="000325B1">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b/>
          <w:bCs/>
          <w:color w:val="000000"/>
          <w:lang w:eastAsia="tr-TR"/>
        </w:rPr>
        <w:t> </w:t>
      </w:r>
      <w:bookmarkStart w:id="1" w:name="_GoBack"/>
    </w:p>
    <w:p w:rsidR="003D6780" w:rsidRPr="003D6780" w:rsidRDefault="003D6780" w:rsidP="000325B1">
      <w:pPr>
        <w:spacing w:before="120" w:after="120" w:line="240" w:lineRule="auto"/>
        <w:ind w:firstLine="567"/>
        <w:jc w:val="both"/>
        <w:rPr>
          <w:rFonts w:ascii="Calibri" w:eastAsia="Times New Roman" w:hAnsi="Calibri" w:cs="Calibri"/>
          <w:color w:val="000000"/>
          <w:lang w:eastAsia="tr-TR"/>
        </w:rPr>
      </w:pPr>
      <w:r w:rsidRPr="003D6780">
        <w:rPr>
          <w:rFonts w:ascii="Arial" w:eastAsia="Times New Roman" w:hAnsi="Arial" w:cs="Arial"/>
          <w:color w:val="000000"/>
          <w:lang w:eastAsia="tr-TR"/>
        </w:rPr>
        <w:t>Bilindiği üzere; Sosyal Güvenlik Kurumu Merkez Çalışma Yönetmeliği'nin 65. maddesi 1. fıkrası (ç) bendinde yer alan </w:t>
      </w:r>
      <w:r w:rsidRPr="003D6780">
        <w:rPr>
          <w:rFonts w:ascii="Arial" w:eastAsia="Times New Roman" w:hAnsi="Arial" w:cs="Arial"/>
          <w:i/>
          <w:iCs/>
          <w:color w:val="000000"/>
          <w:lang w:eastAsia="tr-TR"/>
        </w:rPr>
        <w:t>"Merkez ve taşra teşkilatı ile ilgili performans ölçütlerini belirlemek, uygulamasını izlemek, sonuçları değerlendirerek raporlamak ve ilgili makama sunmak" </w:t>
      </w:r>
      <w:r w:rsidRPr="003D6780">
        <w:rPr>
          <w:rFonts w:ascii="Arial" w:eastAsia="Times New Roman" w:hAnsi="Arial" w:cs="Arial"/>
          <w:color w:val="000000"/>
          <w:lang w:eastAsia="tr-TR"/>
        </w:rPr>
        <w:t>görevi Strateji Geliştirme Başkanlığı Stratejik Yönetim ve Proje Daire Başkanlığı görevleri arasında sayılmıştır. Bu kapsamda, ilk olarak 2009 yılı Ekim ayında başlanan Taşra Performans Hedefleri çalışması, Kurumumuz hizmetlerinin Stratejik Plandaki amaç ve hedefler çerçevesinde yürütülmesini sağlamak ve taşra teşkilatında ulaşılması istenilen hedefleri gerçekleştirmek açısından son derece önem arz etmektedir.</w:t>
      </w:r>
    </w:p>
    <w:p w:rsidR="003D6780" w:rsidRPr="003D6780" w:rsidRDefault="003D6780" w:rsidP="000325B1">
      <w:pPr>
        <w:spacing w:before="120" w:after="120" w:line="240" w:lineRule="auto"/>
        <w:ind w:firstLine="567"/>
        <w:jc w:val="both"/>
        <w:rPr>
          <w:rFonts w:ascii="Calibri" w:eastAsia="Times New Roman" w:hAnsi="Calibri" w:cs="Calibri"/>
          <w:color w:val="000000"/>
          <w:lang w:eastAsia="tr-TR"/>
        </w:rPr>
      </w:pPr>
      <w:r w:rsidRPr="003D6780">
        <w:rPr>
          <w:rFonts w:ascii="Arial" w:eastAsia="Times New Roman" w:hAnsi="Arial" w:cs="Arial"/>
          <w:color w:val="000000"/>
          <w:lang w:eastAsia="tr-TR"/>
        </w:rPr>
        <w:t>2014/2 numaralı Genelge ile belirlenen 2014 yılı Taşra Performans Hedefleri eylemlerinin izleme değerlendirme çalışmaları devam etmektedir. Bununla birlikte 2015 yılına ilişkin eylemlerin belirlenmesine yönelik olarak, merkez ve taşra teşkilatından öneriler alınmış ve bu öneriler neticesinde hazırlanan taslak eylemler, 22-23.11.2014 tarihlerinde Bolu ve 29-30.11.2014 tarihlerinde Antalya’da yapılan il müdürleri toplantısında ele alınarak bahsi geçen eylemler nihai hale kavuşturulmuştur.</w:t>
      </w:r>
    </w:p>
    <w:p w:rsidR="003D6780" w:rsidRPr="003D6780" w:rsidRDefault="003D6780" w:rsidP="000325B1">
      <w:pPr>
        <w:spacing w:before="120" w:after="120" w:line="240" w:lineRule="auto"/>
        <w:ind w:firstLine="567"/>
        <w:jc w:val="both"/>
        <w:rPr>
          <w:rFonts w:ascii="Calibri" w:eastAsia="Times New Roman" w:hAnsi="Calibri" w:cs="Calibri"/>
          <w:color w:val="000000"/>
          <w:lang w:eastAsia="tr-TR"/>
        </w:rPr>
      </w:pPr>
      <w:r w:rsidRPr="003D6780">
        <w:rPr>
          <w:rFonts w:ascii="Arial" w:eastAsia="Times New Roman" w:hAnsi="Arial" w:cs="Arial"/>
          <w:color w:val="000000"/>
          <w:lang w:eastAsia="tr-TR"/>
        </w:rPr>
        <w:t>Eylemlere ilişkin en doğru ve en güvenilir veriler, “verilerin alınacağı birim” sütununda belirtilen birimler tarafından, aynı konuda hazırlanacak kılavuzda ve ayrıca birimlere gönderilecek yazıda belirtilen sürelerde Strateji Geliştirme Başkanlığına gönderilecektir. Performans hedeflerinin gerçekleşme durumları Ocak-Haziran ve Temmuz-Aralık dönemleri için yılda iki kez (30.06.2015 ve 31.12.2015 itibarıyla) yapılacak olan izleme faaliyetleri ile belirlenecektir.</w:t>
      </w:r>
    </w:p>
    <w:p w:rsidR="003D6780" w:rsidRPr="003D6780" w:rsidRDefault="003D6780" w:rsidP="000325B1">
      <w:pPr>
        <w:spacing w:before="120" w:after="120" w:line="240" w:lineRule="auto"/>
        <w:ind w:firstLine="567"/>
        <w:jc w:val="both"/>
        <w:rPr>
          <w:rFonts w:ascii="Calibri" w:eastAsia="Times New Roman" w:hAnsi="Calibri" w:cs="Calibri"/>
          <w:color w:val="000000"/>
          <w:lang w:eastAsia="tr-TR"/>
        </w:rPr>
      </w:pPr>
      <w:r w:rsidRPr="003D6780">
        <w:rPr>
          <w:rFonts w:ascii="Arial" w:eastAsia="Times New Roman" w:hAnsi="Arial" w:cs="Arial"/>
          <w:color w:val="000000"/>
          <w:lang w:eastAsia="tr-TR"/>
        </w:rPr>
        <w:t>Bu Genelge, 01.01.2015 tarihinden itibaren geçerli olup, kapsadığı dönemin sona ermesi nedeniyle 2014/2 numaralı Genelge aynı tarih itibarıyla yürürlükten kaldırılmıştır.</w:t>
      </w:r>
    </w:p>
    <w:p w:rsidR="003D6780" w:rsidRPr="003D6780" w:rsidRDefault="003D6780" w:rsidP="000325B1">
      <w:pPr>
        <w:spacing w:before="120" w:after="120" w:line="240" w:lineRule="auto"/>
        <w:ind w:firstLine="567"/>
        <w:jc w:val="both"/>
        <w:rPr>
          <w:rFonts w:ascii="Calibri" w:eastAsia="Times New Roman" w:hAnsi="Calibri" w:cs="Calibri"/>
          <w:color w:val="000000"/>
          <w:lang w:eastAsia="tr-TR"/>
        </w:rPr>
      </w:pPr>
      <w:r w:rsidRPr="003D6780">
        <w:rPr>
          <w:rFonts w:ascii="Arial" w:eastAsia="Times New Roman" w:hAnsi="Arial" w:cs="Arial"/>
          <w:color w:val="000000"/>
          <w:lang w:eastAsia="tr-TR"/>
        </w:rPr>
        <w:t>Bilgi edinilmesini ve performans hedeflerinin il müdürlüğü personelinin tamamına duyurularak hedeflere ulaşılması hususunda azami gayretin gösterilmesini önemle rica ederim.</w:t>
      </w:r>
    </w:p>
    <w:p w:rsidR="003D6780" w:rsidRPr="003D6780" w:rsidRDefault="003D6780" w:rsidP="000325B1">
      <w:pPr>
        <w:spacing w:before="120" w:after="120" w:line="240" w:lineRule="auto"/>
        <w:ind w:firstLine="567"/>
        <w:jc w:val="both"/>
        <w:rPr>
          <w:rFonts w:ascii="Calibri" w:eastAsia="Times New Roman" w:hAnsi="Calibri" w:cs="Calibri"/>
          <w:color w:val="000000"/>
          <w:lang w:eastAsia="tr-TR"/>
        </w:rPr>
      </w:pPr>
      <w:r w:rsidRPr="003D6780">
        <w:rPr>
          <w:rFonts w:ascii="Arial" w:eastAsia="Times New Roman" w:hAnsi="Arial" w:cs="Arial"/>
          <w:color w:val="000000"/>
          <w:lang w:eastAsia="tr-TR"/>
        </w:rPr>
        <w:t> </w:t>
      </w:r>
    </w:p>
    <w:p w:rsidR="003D6780" w:rsidRPr="003D6780" w:rsidRDefault="003D6780" w:rsidP="000325B1">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color w:val="000000"/>
          <w:lang w:eastAsia="tr-TR"/>
        </w:rPr>
        <w:t>EK:</w:t>
      </w:r>
    </w:p>
    <w:p w:rsidR="003D6780" w:rsidRPr="003D6780" w:rsidRDefault="003D6780" w:rsidP="000325B1">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color w:val="000000"/>
          <w:lang w:eastAsia="tr-TR"/>
        </w:rPr>
        <w:t>Performans Hedefleri Tablosu (3 sayfa)</w:t>
      </w:r>
    </w:p>
    <w:p w:rsidR="003D6780" w:rsidRPr="003D6780" w:rsidRDefault="003D6780" w:rsidP="000325B1">
      <w:pPr>
        <w:spacing w:after="0" w:line="240" w:lineRule="auto"/>
        <w:jc w:val="both"/>
        <w:rPr>
          <w:rFonts w:ascii="Times New Roman" w:eastAsia="Times New Roman" w:hAnsi="Times New Roman" w:cs="Times New Roman"/>
          <w:color w:val="000000"/>
          <w:sz w:val="27"/>
          <w:szCs w:val="27"/>
          <w:lang w:eastAsia="tr-TR"/>
        </w:rPr>
      </w:pPr>
      <w:r w:rsidRPr="003D6780">
        <w:rPr>
          <w:rFonts w:ascii="Arial" w:eastAsia="Times New Roman" w:hAnsi="Arial" w:cs="Arial"/>
          <w:color w:val="000000"/>
          <w:lang w:eastAsia="tr-TR"/>
        </w:rPr>
        <w:br w:type="textWrapping" w:clear="all"/>
      </w:r>
    </w:p>
    <w:p w:rsidR="003D6780" w:rsidRPr="003D6780" w:rsidRDefault="003D6780" w:rsidP="000325B1">
      <w:pPr>
        <w:spacing w:after="0" w:line="240" w:lineRule="auto"/>
        <w:ind w:firstLine="720"/>
        <w:jc w:val="both"/>
        <w:rPr>
          <w:rFonts w:ascii="Calibri" w:eastAsia="Times New Roman" w:hAnsi="Calibri" w:cs="Calibri"/>
          <w:color w:val="000000"/>
          <w:lang w:eastAsia="tr-TR"/>
        </w:rPr>
      </w:pPr>
      <w:r w:rsidRPr="003D6780">
        <w:rPr>
          <w:rFonts w:ascii="Arial" w:eastAsia="Times New Roman" w:hAnsi="Arial" w:cs="Arial"/>
          <w:color w:val="000000"/>
          <w:lang w:eastAsia="tr-TR"/>
        </w:rPr>
        <w:t> </w:t>
      </w:r>
    </w:p>
    <w:p w:rsidR="003D6780" w:rsidRPr="003D6780" w:rsidRDefault="003D6780" w:rsidP="000325B1">
      <w:pPr>
        <w:spacing w:before="120" w:after="120" w:line="240" w:lineRule="auto"/>
        <w:ind w:firstLine="708"/>
        <w:jc w:val="both"/>
        <w:rPr>
          <w:rFonts w:ascii="Calibri" w:eastAsia="Times New Roman" w:hAnsi="Calibri" w:cs="Calibri"/>
          <w:color w:val="000000"/>
          <w:lang w:eastAsia="tr-TR"/>
        </w:rPr>
      </w:pPr>
      <w:r w:rsidRPr="003D6780">
        <w:rPr>
          <w:rFonts w:ascii="Arial" w:eastAsia="Times New Roman" w:hAnsi="Arial" w:cs="Arial"/>
          <w:b/>
          <w:bCs/>
          <w:color w:val="000000"/>
          <w:sz w:val="28"/>
          <w:szCs w:val="28"/>
          <w:lang w:eastAsia="tr-TR"/>
        </w:rPr>
        <w:t>TAŞRA PERFORMANS HEDEFLERİ 2015 YILI EYLEMLERİ</w:t>
      </w:r>
    </w:p>
    <w:tbl>
      <w:tblPr>
        <w:tblW w:w="0" w:type="auto"/>
        <w:tblCellMar>
          <w:left w:w="0" w:type="dxa"/>
          <w:right w:w="0" w:type="dxa"/>
        </w:tblCellMar>
        <w:tblLook w:val="04A0" w:firstRow="1" w:lastRow="0" w:firstColumn="1" w:lastColumn="0" w:noHBand="0" w:noVBand="1"/>
      </w:tblPr>
      <w:tblGrid>
        <w:gridCol w:w="923"/>
        <w:gridCol w:w="1745"/>
        <w:gridCol w:w="2776"/>
        <w:gridCol w:w="955"/>
        <w:gridCol w:w="1116"/>
        <w:gridCol w:w="1537"/>
      </w:tblGrid>
      <w:tr w:rsidR="003D6780" w:rsidRPr="003D6780" w:rsidTr="003D6780">
        <w:tc>
          <w:tcPr>
            <w:tcW w:w="9288"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lastRenderedPageBreak/>
              <w:t>EYLEMLER</w:t>
            </w:r>
          </w:p>
        </w:tc>
      </w:tr>
      <w:tr w:rsidR="003D6780" w:rsidRPr="003D6780" w:rsidTr="003D6780">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Eylem No</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Eylem</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Performans göstergesi</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Performans Hedefi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Verilerin Alınacağı Birim</w:t>
            </w:r>
          </w:p>
        </w:tc>
      </w:tr>
      <w:tr w:rsidR="003D6780" w:rsidRPr="003D6780" w:rsidTr="003D6780">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1</w:t>
            </w:r>
          </w:p>
        </w:tc>
        <w:tc>
          <w:tcPr>
            <w:tcW w:w="17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Kayıt altına alınan çalışan (4/a+4/b) sayısının artırılması</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a) Dönem içinde KADİM servislerince kayıt altına alınan çalışan sayısının, bir önceki yılın aynı dönemine göre artış oranı (%) (4/a+4/b)</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a) % 5</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SPGM</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(Kayıt Dışı İstihdamla Mücadele D.B.)</w:t>
            </w:r>
          </w:p>
        </w:tc>
      </w:tr>
      <w:tr w:rsidR="003D6780" w:rsidRPr="003D6780" w:rsidTr="003D6780">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b) Dönem içinde denetimler sonucu kayıt altına alınan çalışan sayısının, bir önceki yılın aynı dönemine göre artış oranı (%) (4/a+4/b)</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b) % 5</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rPr>
          <w:trHeight w:val="1264"/>
        </w:trPr>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2</w:t>
            </w:r>
          </w:p>
        </w:tc>
        <w:tc>
          <w:tcPr>
            <w:tcW w:w="17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Sosyal güvenlik bilincinin artırılması ve kayıt dışı istihdamın azaltılmasına yönelik bilinçlendirme çalışmalarının yapılması</w:t>
            </w:r>
          </w:p>
        </w:tc>
        <w:tc>
          <w:tcPr>
            <w:tcW w:w="29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Yapılan bilgilendirme faaliyeti sayısı</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i/>
                <w:iCs/>
                <w:lang w:eastAsia="tr-TR"/>
              </w:rPr>
              <w:t>Bilinçlendirme faaliyetlerinin kapsamına;</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i/>
                <w:iCs/>
                <w:lang w:eastAsia="tr-TR"/>
              </w:rPr>
              <w:t>a) Millî Eğitim Bakanlığına bağlı resmî ve özel ilkokul, ortaokul ve liseler ile üniversitelerde,</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i/>
                <w:iCs/>
                <w:lang w:eastAsia="tr-TR"/>
              </w:rPr>
              <w:t>b) Askeri birliklerde,</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i/>
                <w:iCs/>
                <w:lang w:eastAsia="tr-TR"/>
              </w:rPr>
              <w:t>c) STK’larda, yapılacak konferans, seminer, panel vb. faaliyetler ve yazılı ya da görsel medya aracılığı ile yapılan tanıtım çalışmaları girmektedir.</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Sosyal Güvenlik Merkezi sayısına göre belirlenmiştir.</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İl Müdürlükleri</w:t>
            </w:r>
          </w:p>
        </w:tc>
      </w:tr>
      <w:tr w:rsidR="003D6780" w:rsidRPr="003D6780" w:rsidTr="003D6780">
        <w:trPr>
          <w:trHeight w:val="595"/>
        </w:trPr>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SGM Sayısı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Faaliyet Sayısı</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rPr>
          <w:trHeight w:val="496"/>
        </w:trPr>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30-23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15</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rPr>
          <w:trHeight w:val="418"/>
        </w:trPr>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22-15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12</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rPr>
          <w:trHeight w:val="482"/>
        </w:trPr>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14-7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9</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rPr>
          <w:trHeight w:val="418"/>
        </w:trPr>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6-0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6</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rPr>
          <w:trHeight w:val="499"/>
        </w:trPr>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 </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3</w:t>
            </w:r>
          </w:p>
        </w:tc>
        <w:tc>
          <w:tcPr>
            <w:tcW w:w="17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İcra yoluyla tahsilatın artırılması</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a) İcra yoluyla yapılan tahsilatın bir önceki yıla göre artış oranı(%)</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(2015 yılı içinde icra kanalıyla tahsil edilen tutarın, 2014 yılı içinde icra kanalıyla tahsil edilen tutara göre artış oranı(%))</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a) %15</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SPGM</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(İhtilaflı Primler D.B.)</w:t>
            </w:r>
          </w:p>
        </w:tc>
      </w:tr>
      <w:tr w:rsidR="003D6780" w:rsidRPr="003D6780" w:rsidTr="003D6780">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b) Yıl içinde haciz yoluyla yapılan satış sayısının bir önceki yıl haciz yoluyla yapılan satış sayısına oranı(%)</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b) %15</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c>
          <w:tcPr>
            <w:tcW w:w="0" w:type="auto"/>
            <w:vMerge/>
            <w:tcBorders>
              <w:top w:val="nil"/>
              <w:left w:val="single" w:sz="8" w:space="0" w:color="auto"/>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c) Yıl içinde haciz yoluyla yapılan mal satış tutarının bir önceki yıl haciz yoluyla satılan mal satışı tutarına oranı(%)</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c) %15</w:t>
            </w:r>
          </w:p>
        </w:tc>
        <w:tc>
          <w:tcPr>
            <w:tcW w:w="0" w:type="auto"/>
            <w:vMerge/>
            <w:tcBorders>
              <w:top w:val="nil"/>
              <w:left w:val="nil"/>
              <w:bottom w:val="single" w:sz="8" w:space="0" w:color="auto"/>
              <w:right w:val="single" w:sz="8" w:space="0" w:color="auto"/>
            </w:tcBorders>
            <w:vAlign w:val="center"/>
            <w:hideMark/>
          </w:tcPr>
          <w:p w:rsidR="003D6780" w:rsidRPr="003D6780" w:rsidRDefault="003D6780" w:rsidP="000325B1">
            <w:pPr>
              <w:spacing w:after="0" w:line="240" w:lineRule="auto"/>
              <w:jc w:val="both"/>
              <w:rPr>
                <w:rFonts w:ascii="Calibri" w:eastAsia="Times New Roman" w:hAnsi="Calibri" w:cs="Calibri"/>
                <w:lang w:eastAsia="tr-TR"/>
              </w:rPr>
            </w:pPr>
          </w:p>
        </w:tc>
      </w:tr>
      <w:tr w:rsidR="003D6780" w:rsidRPr="003D6780" w:rsidTr="003D6780">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4</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Yaşlılık aylığı bağlama süresinin kısaltılması</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İşlem tarihine göre toplam aylık bağlanan gün sayısının, aylık bağlanan kişi sayısına oranı (Gün)</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4/a ve 4/b sigortalıları için:</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30 gün veya 30 günün altında</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EHGM</w:t>
            </w:r>
          </w:p>
        </w:tc>
      </w:tr>
      <w:tr w:rsidR="003D6780" w:rsidRPr="003D6780" w:rsidTr="003D6780">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5</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Hizmet isteme süresinin kısaltılması</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Diğer il müdürlüklerinden gelen hizmet bilgisi talebine yanıt verme süresi (Talep tarihi ile cevap tarihi arasında geçen ortalama süre)</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10 gün</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SPGM</w:t>
            </w:r>
          </w:p>
        </w:tc>
      </w:tr>
      <w:tr w:rsidR="003D6780" w:rsidRPr="003D6780" w:rsidTr="003D6780">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6</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Sağlık faturalarının incelenerek avanslarının kapatılması</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15.10.2014-15.09.2015 tarihlerine ait olan ve yıl içinde kapatılan sağlık faturalarının sayısının, 15.10.2014-15.09.2015 tarihleri arasında ünitelere teslim edilen sağlık faturalarının sayısına oranı(%)</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Hastane, Eczane ve Optik için (% 100)</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SGB</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(Muhasebe D.B.)</w:t>
            </w:r>
          </w:p>
        </w:tc>
      </w:tr>
      <w:tr w:rsidR="003D6780" w:rsidRPr="003D6780" w:rsidTr="003D6780">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7</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İşyeri tescil bilgilerinin güncellenmesi</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Yıl içinde ilgili birimce ünitelere gönderilen listelerden güncellenen işyeri tescil kütüğü sayısının, listede bulunan toplam işyeri tescil kütüğü sayısına oranı (%)</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 75</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SPGM</w:t>
            </w:r>
          </w:p>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(İşverenler Daire Başkanlığı)</w:t>
            </w:r>
          </w:p>
        </w:tc>
      </w:tr>
      <w:tr w:rsidR="003D6780" w:rsidRPr="003D6780" w:rsidTr="003D6780">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8</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Elektronik Veri Girişlerinin Yapılması</w:t>
            </w:r>
          </w:p>
        </w:tc>
        <w:tc>
          <w:tcPr>
            <w:tcW w:w="2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Yıl içinde HUYAP girişleri yapılan veri sayısının, il müdürlüklerince HUYAP girişi yapılması gereken toplam veri sayısına oranı (%)</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lang w:eastAsia="tr-TR"/>
              </w:rPr>
              <w:t>% 100</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780" w:rsidRPr="003D6780" w:rsidRDefault="003D6780" w:rsidP="000325B1">
            <w:pPr>
              <w:spacing w:before="120" w:after="120" w:line="240" w:lineRule="auto"/>
              <w:jc w:val="both"/>
              <w:rPr>
                <w:rFonts w:ascii="Calibri" w:eastAsia="Times New Roman" w:hAnsi="Calibri" w:cs="Calibri"/>
                <w:lang w:eastAsia="tr-TR"/>
              </w:rPr>
            </w:pPr>
            <w:r w:rsidRPr="003D6780">
              <w:rPr>
                <w:rFonts w:ascii="Arial" w:eastAsia="Times New Roman" w:hAnsi="Arial" w:cs="Arial"/>
                <w:b/>
                <w:bCs/>
                <w:lang w:eastAsia="tr-TR"/>
              </w:rPr>
              <w:t>Hukuk Müşavirliği</w:t>
            </w:r>
          </w:p>
        </w:tc>
      </w:tr>
    </w:tbl>
    <w:p w:rsidR="003D6780" w:rsidRPr="003D6780" w:rsidRDefault="003D6780" w:rsidP="000325B1">
      <w:pPr>
        <w:spacing w:before="120" w:after="120" w:line="240" w:lineRule="auto"/>
        <w:jc w:val="both"/>
        <w:rPr>
          <w:rFonts w:ascii="Calibri" w:eastAsia="Times New Roman" w:hAnsi="Calibri" w:cs="Calibri"/>
          <w:color w:val="000000"/>
          <w:lang w:eastAsia="tr-TR"/>
        </w:rPr>
      </w:pPr>
      <w:r w:rsidRPr="003D6780">
        <w:rPr>
          <w:rFonts w:ascii="Arial" w:eastAsia="Times New Roman" w:hAnsi="Arial" w:cs="Arial"/>
          <w:color w:val="000000"/>
          <w:lang w:eastAsia="tr-TR"/>
        </w:rPr>
        <w:t> </w:t>
      </w:r>
    </w:p>
    <w:p w:rsidR="003D6780" w:rsidRPr="003D6780" w:rsidRDefault="003D6780" w:rsidP="000325B1">
      <w:pPr>
        <w:spacing w:after="0" w:line="240" w:lineRule="auto"/>
        <w:jc w:val="both"/>
        <w:rPr>
          <w:rFonts w:ascii="Times New Roman" w:eastAsia="Times New Roman" w:hAnsi="Times New Roman" w:cs="Times New Roman"/>
          <w:color w:val="000000"/>
          <w:sz w:val="27"/>
          <w:szCs w:val="27"/>
          <w:lang w:eastAsia="tr-TR"/>
        </w:rPr>
      </w:pPr>
      <w:r w:rsidRPr="003D6780">
        <w:rPr>
          <w:rFonts w:ascii="Times New Roman" w:eastAsia="Times New Roman" w:hAnsi="Times New Roman" w:cs="Times New Roman"/>
          <w:color w:val="000000"/>
          <w:sz w:val="27"/>
          <w:szCs w:val="27"/>
          <w:lang w:eastAsia="tr-TR"/>
        </w:rPr>
        <w:br w:type="textWrapping" w:clear="all"/>
      </w:r>
    </w:p>
    <w:p w:rsidR="003D6780" w:rsidRPr="003D6780" w:rsidRDefault="000325B1" w:rsidP="000325B1">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align="right" o:hrstd="t" o:hr="t" fillcolor="#a0a0a0" stroked="f"/>
        </w:pict>
      </w:r>
    </w:p>
    <w:bookmarkStart w:id="2" w:name="_ftn1"/>
    <w:p w:rsidR="003D6780" w:rsidRPr="003D6780" w:rsidRDefault="003D6780" w:rsidP="000325B1">
      <w:pPr>
        <w:spacing w:after="0" w:line="240" w:lineRule="auto"/>
        <w:ind w:left="567" w:hanging="567"/>
        <w:jc w:val="both"/>
        <w:rPr>
          <w:rFonts w:ascii="Calibri" w:eastAsia="Times New Roman" w:hAnsi="Calibri" w:cs="Calibri"/>
          <w:color w:val="000000"/>
          <w:sz w:val="20"/>
          <w:szCs w:val="20"/>
          <w:lang w:eastAsia="tr-TR"/>
        </w:rPr>
      </w:pPr>
      <w:r w:rsidRPr="003D6780">
        <w:rPr>
          <w:rFonts w:ascii="Calibri" w:eastAsia="Times New Roman" w:hAnsi="Calibri" w:cs="Calibri"/>
          <w:color w:val="000000"/>
          <w:sz w:val="20"/>
          <w:szCs w:val="20"/>
          <w:lang w:eastAsia="tr-TR"/>
        </w:rPr>
        <w:fldChar w:fldCharType="begin"/>
      </w:r>
      <w:r w:rsidRPr="003D6780">
        <w:rPr>
          <w:rFonts w:ascii="Calibri" w:eastAsia="Times New Roman" w:hAnsi="Calibri" w:cs="Calibri"/>
          <w:color w:val="000000"/>
          <w:sz w:val="20"/>
          <w:szCs w:val="20"/>
          <w:lang w:eastAsia="tr-TR"/>
        </w:rPr>
        <w:instrText xml:space="preserve"> HYPERLINK "https://uye.yaklasim.com/filezone/yaklasim/tummevzuat/sgk_genelgeleri/2015_05.htm" \l "_ftnref1" \o "" </w:instrText>
      </w:r>
      <w:r w:rsidRPr="003D6780">
        <w:rPr>
          <w:rFonts w:ascii="Calibri" w:eastAsia="Times New Roman" w:hAnsi="Calibri" w:cs="Calibri"/>
          <w:color w:val="000000"/>
          <w:sz w:val="20"/>
          <w:szCs w:val="20"/>
          <w:lang w:eastAsia="tr-TR"/>
        </w:rPr>
        <w:fldChar w:fldCharType="separate"/>
      </w:r>
      <w:r w:rsidRPr="003D6780">
        <w:rPr>
          <w:rFonts w:ascii="Arial Narrow" w:eastAsia="Times New Roman" w:hAnsi="Arial Narrow" w:cs="Calibri"/>
          <w:color w:val="0000FF"/>
          <w:sz w:val="18"/>
          <w:szCs w:val="18"/>
          <w:u w:val="single"/>
          <w:lang w:eastAsia="tr-TR"/>
        </w:rPr>
        <w:t>(*)</w:t>
      </w:r>
      <w:r w:rsidRPr="003D6780">
        <w:rPr>
          <w:rFonts w:ascii="Calibri" w:eastAsia="Times New Roman" w:hAnsi="Calibri" w:cs="Calibri"/>
          <w:color w:val="000000"/>
          <w:sz w:val="20"/>
          <w:szCs w:val="20"/>
          <w:lang w:eastAsia="tr-TR"/>
        </w:rPr>
        <w:fldChar w:fldCharType="end"/>
      </w:r>
      <w:bookmarkEnd w:id="2"/>
      <w:r w:rsidRPr="003D6780">
        <w:rPr>
          <w:rFonts w:ascii="Arial Narrow" w:eastAsia="Times New Roman" w:hAnsi="Arial Narrow" w:cs="Calibri"/>
          <w:color w:val="000000"/>
          <w:sz w:val="18"/>
          <w:szCs w:val="18"/>
          <w:lang w:eastAsia="tr-TR"/>
        </w:rPr>
        <w:t>         2016/7 sayılı Genelge ile 01.01.2016 tarihi itibarıyla yürürlükten kaldırılmıştır.</w:t>
      </w:r>
    </w:p>
    <w:bookmarkEnd w:id="1"/>
    <w:p w:rsidR="00A16BAC" w:rsidRPr="00422CE7" w:rsidRDefault="000325B1" w:rsidP="000325B1">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325B1"/>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260E0"/>
    <w:rsid w:val="00964986"/>
    <w:rsid w:val="009939E9"/>
    <w:rsid w:val="00996C52"/>
    <w:rsid w:val="00A43C54"/>
    <w:rsid w:val="00AB1054"/>
    <w:rsid w:val="00B0448F"/>
    <w:rsid w:val="00C00BA7"/>
    <w:rsid w:val="00C25213"/>
    <w:rsid w:val="00C55419"/>
    <w:rsid w:val="00C562A4"/>
    <w:rsid w:val="00CF3E40"/>
    <w:rsid w:val="00D067AD"/>
    <w:rsid w:val="00D47A03"/>
    <w:rsid w:val="00D71B62"/>
    <w:rsid w:val="00D77600"/>
    <w:rsid w:val="00D84359"/>
    <w:rsid w:val="00EC5913"/>
    <w:rsid w:val="00EE32F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2021-01-04T09:08:00Z</dcterms:created>
  <dcterms:modified xsi:type="dcterms:W3CDTF">2022-06-23T14:16:00Z</dcterms:modified>
</cp:coreProperties>
</file>