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T.C.</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SOSYAL GÜVENLİK KURUMU BAŞKANLIĞI</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Sigorta Primleri Genel Müdürlüğü</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 </w:t>
      </w:r>
    </w:p>
    <w:p w:rsidR="002E3D20" w:rsidRPr="002E3D20" w:rsidRDefault="002E3D20" w:rsidP="002E3D20">
      <w:pPr>
        <w:spacing w:before="120" w:after="120" w:line="360" w:lineRule="atLeast"/>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Sayı</w:t>
      </w:r>
      <w:r w:rsidRPr="002E3D20">
        <w:rPr>
          <w:rFonts w:ascii="Arial" w:eastAsia="Times New Roman" w:hAnsi="Arial" w:cs="Arial"/>
          <w:color w:val="0C0C0C"/>
          <w:lang w:eastAsia="tr-TR"/>
        </w:rPr>
        <w:t>: </w:t>
      </w:r>
      <w:proofErr w:type="gramStart"/>
      <w:r w:rsidRPr="002E3D20">
        <w:rPr>
          <w:rFonts w:ascii="Arial" w:eastAsia="Times New Roman" w:hAnsi="Arial" w:cs="Arial"/>
          <w:color w:val="0C0C0C"/>
          <w:lang w:eastAsia="tr-TR"/>
        </w:rPr>
        <w:t>40071718</w:t>
      </w:r>
      <w:proofErr w:type="gramEnd"/>
      <w:r w:rsidRPr="002E3D20">
        <w:rPr>
          <w:rFonts w:ascii="Arial" w:eastAsia="Times New Roman" w:hAnsi="Arial" w:cs="Arial"/>
          <w:color w:val="0C0C0C"/>
          <w:lang w:eastAsia="tr-TR"/>
        </w:rPr>
        <w:t>-206990316-E.5979435</w:t>
      </w:r>
    </w:p>
    <w:p w:rsidR="002E3D20" w:rsidRPr="002E3D20" w:rsidRDefault="002E3D20" w:rsidP="002E3D20">
      <w:pPr>
        <w:spacing w:before="120" w:after="120" w:line="360" w:lineRule="atLeast"/>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Tarih</w:t>
      </w:r>
      <w:r w:rsidRPr="002E3D20">
        <w:rPr>
          <w:rFonts w:ascii="Arial" w:eastAsia="Times New Roman" w:hAnsi="Arial" w:cs="Arial"/>
          <w:color w:val="0C0C0C"/>
          <w:lang w:eastAsia="tr-TR"/>
        </w:rPr>
        <w:t>: 08.11.2016</w:t>
      </w:r>
    </w:p>
    <w:p w:rsidR="002E3D20" w:rsidRPr="002E3D20" w:rsidRDefault="002E3D20" w:rsidP="002E3D20">
      <w:pPr>
        <w:spacing w:before="120" w:after="120" w:line="360" w:lineRule="atLeast"/>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Konu</w:t>
      </w:r>
      <w:r w:rsidRPr="002E3D20">
        <w:rPr>
          <w:rFonts w:ascii="Arial" w:eastAsia="Times New Roman" w:hAnsi="Arial" w:cs="Arial"/>
          <w:color w:val="0C0C0C"/>
          <w:lang w:eastAsia="tr-TR"/>
        </w:rPr>
        <w:t>: 2016/18 sayılı Genelgede Yapılan Değişiklikler</w:t>
      </w:r>
    </w:p>
    <w:p w:rsidR="002E3D20" w:rsidRPr="002E3D20" w:rsidRDefault="002E3D20" w:rsidP="002E3D20">
      <w:pPr>
        <w:spacing w:before="120" w:after="120" w:line="360" w:lineRule="atLeast"/>
        <w:rPr>
          <w:rFonts w:ascii="Times New Roman" w:eastAsia="Times New Roman" w:hAnsi="Times New Roman" w:cs="Times New Roman"/>
          <w:color w:val="000000"/>
          <w:sz w:val="27"/>
          <w:szCs w:val="27"/>
          <w:lang w:eastAsia="tr-TR"/>
        </w:rPr>
      </w:pPr>
      <w:r w:rsidRPr="002E3D20">
        <w:rPr>
          <w:rFonts w:ascii="Arial" w:eastAsia="Times New Roman" w:hAnsi="Arial" w:cs="Arial"/>
          <w:color w:val="0C0C0C"/>
          <w:lang w:eastAsia="tr-TR"/>
        </w:rPr>
        <w:t> </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GENELGE</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2016-25</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i/>
          <w:iCs/>
          <w:color w:val="0C0C0C"/>
          <w:lang w:eastAsia="tr-TR"/>
        </w:rPr>
        <w:t>(11 Kasım 2016 Tarihinde SGK Tarafından Yayınlanmıştır)</w:t>
      </w:r>
    </w:p>
    <w:p w:rsidR="002E3D20" w:rsidRPr="002E3D20" w:rsidRDefault="002E3D20" w:rsidP="002E3D20">
      <w:pPr>
        <w:spacing w:before="120" w:after="120" w:line="360" w:lineRule="atLeast"/>
        <w:jc w:val="center"/>
        <w:rPr>
          <w:rFonts w:ascii="Times New Roman" w:eastAsia="Times New Roman" w:hAnsi="Times New Roman" w:cs="Times New Roman"/>
          <w:color w:val="000000"/>
          <w:sz w:val="27"/>
          <w:szCs w:val="27"/>
          <w:lang w:eastAsia="tr-TR"/>
        </w:rPr>
      </w:pPr>
      <w:r w:rsidRPr="002E3D20">
        <w:rPr>
          <w:rFonts w:ascii="Arial" w:eastAsia="Times New Roman" w:hAnsi="Arial" w:cs="Arial"/>
          <w:b/>
          <w:bCs/>
          <w:color w:val="0C0C0C"/>
          <w:lang w:eastAsia="tr-TR"/>
        </w:rPr>
        <w:t> </w:t>
      </w:r>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bookmarkStart w:id="0" w:name="_GoBack"/>
      <w:proofErr w:type="gramStart"/>
      <w:r w:rsidRPr="002E3D20">
        <w:rPr>
          <w:rFonts w:ascii="Arial" w:eastAsia="Times New Roman" w:hAnsi="Arial" w:cs="Arial"/>
          <w:color w:val="0C0C0C"/>
          <w:lang w:eastAsia="tr-TR"/>
        </w:rPr>
        <w:t>Bilindiği üzere, 19.8.2016 tarihli ve 29806 sayılı Resmi </w:t>
      </w:r>
      <w:proofErr w:type="spellStart"/>
      <w:r w:rsidRPr="002E3D20">
        <w:rPr>
          <w:rFonts w:ascii="Arial" w:eastAsia="Times New Roman" w:hAnsi="Arial" w:cs="Arial"/>
          <w:color w:val="0C0C0C"/>
          <w:lang w:eastAsia="tr-TR"/>
        </w:rPr>
        <w:t>Gazete’de</w:t>
      </w:r>
      <w:proofErr w:type="spellEnd"/>
      <w:r w:rsidRPr="002E3D20">
        <w:rPr>
          <w:rFonts w:ascii="Arial" w:eastAsia="Times New Roman" w:hAnsi="Arial" w:cs="Arial"/>
          <w:color w:val="0C0C0C"/>
          <w:lang w:eastAsia="tr-TR"/>
        </w:rPr>
        <w:t> yayımlanarak yürürlüğe girmiş olan 3.8.2016 tarihli ve 6736 sayılı Bazı Alacakların Yeniden Yapılandırılmasına İlişkin Kanunun uygulanmasına ilişkin usul ve esaslar, anılan Kanunun 10. maddesinin yirmi birinci fıkrası uyarınca Kurumumuza verilen yetkiye istinaden 22.8.2016 tarihli ve 2016/18 sayılı Kurum Genelgesiyle düzenlenmiştir.</w:t>
      </w:r>
      <w:proofErr w:type="gramEnd"/>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r w:rsidRPr="002E3D20">
        <w:rPr>
          <w:rFonts w:ascii="Arial" w:eastAsia="Times New Roman" w:hAnsi="Arial" w:cs="Arial"/>
          <w:color w:val="0C0C0C"/>
          <w:lang w:eastAsia="tr-TR"/>
        </w:rPr>
        <w:t>Bununla birlikte, 7.9.2016 tarihli ve 29824 sayılı Resmi </w:t>
      </w:r>
      <w:proofErr w:type="spellStart"/>
      <w:r w:rsidRPr="002E3D20">
        <w:rPr>
          <w:rFonts w:ascii="Arial" w:eastAsia="Times New Roman" w:hAnsi="Arial" w:cs="Arial"/>
          <w:color w:val="0C0C0C"/>
          <w:lang w:eastAsia="tr-TR"/>
        </w:rPr>
        <w:t>Gazete’de</w:t>
      </w:r>
      <w:proofErr w:type="spellEnd"/>
      <w:r w:rsidRPr="002E3D20">
        <w:rPr>
          <w:rFonts w:ascii="Arial" w:eastAsia="Times New Roman" w:hAnsi="Arial" w:cs="Arial"/>
          <w:color w:val="0C0C0C"/>
          <w:lang w:eastAsia="tr-TR"/>
        </w:rPr>
        <w:t> yayımlanan 6745 sayılı Yatırımların Proje Bazında Desteklenmesi ile Bazı Kanun ve Kanun Hükmünde Kararnamelerde Değişiklik Yapılmasına Dair Kanunun 62. maddesi ile 5510 sayılı Kanununun 81. maddesinin birinci fıkrasına eklenen (j) bendinde;</w:t>
      </w:r>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r w:rsidRPr="002E3D20">
        <w:rPr>
          <w:rFonts w:ascii="Arial" w:eastAsia="Times New Roman" w:hAnsi="Arial" w:cs="Arial"/>
          <w:color w:val="0C0C0C"/>
          <w:lang w:eastAsia="tr-TR"/>
        </w:rPr>
        <w:t>“İsteğe bağlı sigortalılar hariç bu Kanunun 4. maddesinin birinci fıkrasının (b) bendi kapsamındaki sigortalıların malullük, yaşlılık ve ölüm sigortaları primlerinden, beş puanlık kısmına isabet eden tutar Hazinece karşılanır. Sigortalıların bu prim indiriminden yararlanabilmeleri için primlerin Hazinece karşılanmayan kısmının yasal süresi içinde ödenmesi. Kuruma kendi sigortalılıklarından kaynaklanan prim, idari para cezası ve bunlara ilişkin gecikme cezası ve gecikme zammı borcunun bulunmaması şarttır. Ancak Kuruma olan prim, idari para cezası ve bunlara ilişkin gecikme cezası ve gecikme zammı borçlarını taksitlendiren veya yapılandıran sigortalılar bu taksitlendirme veya yapılandırma işlemleri devam ettiği sürece bu bent hükmünden yararlandırılır. Borçlanma ve ihya kapsamındaki primlerden dolayı bu indirimden yararlanılmaz. Hazinece karşılanan prim tutarları gelir ve kurumlar vergisi uygulamalarında gider veya maliyet unsuru olarak dikkate alınmaz.”</w:t>
      </w:r>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proofErr w:type="gramStart"/>
      <w:r w:rsidRPr="002E3D20">
        <w:rPr>
          <w:rFonts w:ascii="Arial" w:eastAsia="Times New Roman" w:hAnsi="Arial" w:cs="Arial"/>
          <w:color w:val="0C0C0C"/>
          <w:lang w:eastAsia="tr-TR"/>
        </w:rPr>
        <w:lastRenderedPageBreak/>
        <w:t>hükmü</w:t>
      </w:r>
      <w:proofErr w:type="gramEnd"/>
      <w:r w:rsidRPr="002E3D20">
        <w:rPr>
          <w:rFonts w:ascii="Arial" w:eastAsia="Times New Roman" w:hAnsi="Arial" w:cs="Arial"/>
          <w:color w:val="0C0C0C"/>
          <w:lang w:eastAsia="tr-TR"/>
        </w:rPr>
        <w:t> yer almakta olup, 5510 sayılı Kanunun 81. maddesinin birinci fıkrasına eklenen (j) bendi 1.10.2016 tarihi itibariyle yürürlüğe girmiştir.</w:t>
      </w:r>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proofErr w:type="gramStart"/>
      <w:r w:rsidRPr="002E3D20">
        <w:rPr>
          <w:rFonts w:ascii="Arial" w:eastAsia="Times New Roman" w:hAnsi="Arial" w:cs="Arial"/>
          <w:color w:val="0C0C0C"/>
          <w:lang w:eastAsia="tr-TR"/>
        </w:rPr>
        <w:t>5510 sayılı Kanunun 4. maddesinin birinci fıkrasının (b) bendi kapsamındaki aktif sigortalılardan (isteğe bağlı sigortalılar hariç) 5510 sayılı Kanunun 81. maddesinin birinci fıkrasına eklenen (j) bendi hükümlerinden yararlanmak isteyenlerin ilgili Kanun hükmü gereği Kuruma olan prim, idari para cezası ve bunlara ilişkin gecikme cezası ve gecikme zammı borçlarını yapılandırmaları ve yapılandırma işlemleri devam ettiği sürece (kapsama girmeyen sigorta primi borçları ile gecikme cezası ve gecikme zammını ödemeleri halinde) yararlanmaları mümkün bulunmaktadır.</w:t>
      </w:r>
      <w:proofErr w:type="gramEnd"/>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r w:rsidRPr="002E3D20">
        <w:rPr>
          <w:rFonts w:ascii="Arial" w:eastAsia="Times New Roman" w:hAnsi="Arial" w:cs="Arial"/>
          <w:color w:val="0C0C0C"/>
          <w:lang w:eastAsia="tr-TR"/>
        </w:rPr>
        <w:t>Bu bağlamda, 2016/18 sayılı Genelgenin “13.10. Sigorta primi teşvik, destek ve indirimlerden yararlanılması” başlıklı bölümün sonuna aşağıda yer alan fıkra eklenmiştir.</w:t>
      </w:r>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proofErr w:type="gramStart"/>
      <w:r w:rsidRPr="002E3D20">
        <w:rPr>
          <w:rFonts w:ascii="Arial" w:eastAsia="Times New Roman" w:hAnsi="Arial" w:cs="Arial"/>
          <w:color w:val="0C0C0C"/>
          <w:lang w:eastAsia="tr-TR"/>
        </w:rPr>
        <w:t>“5510 sayılı Kanunun 4. maddesinin birinci fıkrasının (b) bendi kapsamındaki sigortalıların (isteğe bağlı sigortalılar hariç) Kuruma muaccel sigorta primi, idari para cezası ile bunlara ilişkin gecikme cezası ve gecikme zammı borçlarının olması halinde bu borçların 6736 sayılı Kanun kapsamında yapılandırılması durumunda başvuruda bulunulan tarihten itibaren, yapılandırma kapsamına girmeyen yasal ödeme süresi geçmiş başkaca borçların bulunmaması ve yapılandırmaya ilişkin ödeme yükümlülüklerinin yerine getirilmesi kaydıyla, sigorta primi teşviklerinden yararlandırılması mümkün olacaktır. Ancak, 6736 sayılı Kanun kapsamında Kurumumuza olan borçlarını yapılandırmış sigortalılardan (gerek peşin ödeme, gerekse taksitle ödeme), peşin ödeme yolunu tercih etmiş olanların peşin ödeme tutarını, taksitli ödeme yolunu tercih etmiş olanların ise ilk taksit tutarını 2.1.2017 tarihine kadar ödememeleri halinde, teşvik uygulamasının başlatıldığı 1.10.2016 tarihinden 2.1.2017 tarihine kadar yararlandıkları teşvikler iptal edilerek sigorta primi teşvik tutarları, gecikme cezası ve gecikme zammı ile birlikte geri alınacaktır.”</w:t>
      </w:r>
      <w:proofErr w:type="gramEnd"/>
    </w:p>
    <w:p w:rsidR="002E3D20" w:rsidRPr="002E3D20" w:rsidRDefault="002E3D20" w:rsidP="009A1AB6">
      <w:pPr>
        <w:spacing w:before="120" w:after="120" w:line="360" w:lineRule="atLeast"/>
        <w:jc w:val="both"/>
        <w:rPr>
          <w:rFonts w:ascii="Times New Roman" w:eastAsia="Times New Roman" w:hAnsi="Times New Roman" w:cs="Times New Roman"/>
          <w:color w:val="000000"/>
          <w:sz w:val="27"/>
          <w:szCs w:val="27"/>
          <w:lang w:eastAsia="tr-TR"/>
        </w:rPr>
      </w:pPr>
      <w:r w:rsidRPr="002E3D20">
        <w:rPr>
          <w:rFonts w:ascii="Arial" w:eastAsia="Times New Roman" w:hAnsi="Arial" w:cs="Arial"/>
          <w:color w:val="0C0C0C"/>
          <w:lang w:eastAsia="tr-TR"/>
        </w:rPr>
        <w:t>Bilgi edinilmesini ve gereğini rica ederim.</w:t>
      </w:r>
    </w:p>
    <w:p w:rsidR="002E3D20" w:rsidRPr="002E3D20" w:rsidRDefault="002E3D20" w:rsidP="009A1AB6">
      <w:pPr>
        <w:spacing w:before="120" w:after="120" w:line="330" w:lineRule="atLeast"/>
        <w:jc w:val="both"/>
        <w:rPr>
          <w:rFonts w:ascii="Calibri" w:eastAsia="Times New Roman" w:hAnsi="Calibri" w:cs="Times New Roman"/>
          <w:color w:val="000000"/>
          <w:lang w:eastAsia="tr-TR"/>
        </w:rPr>
      </w:pPr>
      <w:r w:rsidRPr="002E3D20">
        <w:rPr>
          <w:rFonts w:ascii="Calibri" w:eastAsia="Times New Roman" w:hAnsi="Calibri" w:cs="Times New Roman"/>
          <w:color w:val="000000"/>
          <w:lang w:eastAsia="tr-TR"/>
        </w:rPr>
        <w:t> </w:t>
      </w:r>
    </w:p>
    <w:bookmarkEnd w:id="0"/>
    <w:p w:rsidR="003D45BE" w:rsidRDefault="003D45BE" w:rsidP="009A1AB6">
      <w:pPr>
        <w:jc w:val="both"/>
      </w:pPr>
    </w:p>
    <w:sectPr w:rsidR="003D4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20"/>
    <w:rsid w:val="002E3D20"/>
    <w:rsid w:val="003D45BE"/>
    <w:rsid w:val="009A1A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8442D-CFC2-4C8B-BD0A-20F8118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E3D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E3D20"/>
    <w:rPr>
      <w:b/>
      <w:bCs/>
    </w:rPr>
  </w:style>
  <w:style w:type="character" w:customStyle="1" w:styleId="grame">
    <w:name w:val="grame"/>
    <w:basedOn w:val="VarsaylanParagrafYazTipi"/>
    <w:rsid w:val="002E3D20"/>
  </w:style>
  <w:style w:type="character" w:styleId="Vurgu">
    <w:name w:val="Emphasis"/>
    <w:basedOn w:val="VarsaylanParagrafYazTipi"/>
    <w:uiPriority w:val="20"/>
    <w:qFormat/>
    <w:rsid w:val="002E3D20"/>
    <w:rPr>
      <w:i/>
      <w:iCs/>
    </w:rPr>
  </w:style>
  <w:style w:type="character" w:customStyle="1" w:styleId="spelle">
    <w:name w:val="spelle"/>
    <w:basedOn w:val="VarsaylanParagrafYazTipi"/>
    <w:rsid w:val="002E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0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2021-01-04T08:39:00Z</dcterms:created>
  <dcterms:modified xsi:type="dcterms:W3CDTF">2022-06-23T14:34:00Z</dcterms:modified>
</cp:coreProperties>
</file>